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606D" w:rsidRPr="009A606D" w:rsidRDefault="009A606D" w:rsidP="009A606D">
      <w:pPr>
        <w:shd w:val="clear" w:color="auto" w:fill="FFFFFF"/>
        <w:spacing w:after="0" w:line="240" w:lineRule="auto"/>
        <w:outlineLvl w:val="0"/>
        <w:rPr>
          <w:rFonts w:ascii="Helvetica" w:eastAsia="Times New Roman" w:hAnsi="Helvetica" w:cs="Helvetica"/>
          <w:color w:val="16192B"/>
          <w:kern w:val="36"/>
          <w:sz w:val="48"/>
          <w:szCs w:val="48"/>
        </w:rPr>
      </w:pPr>
      <w:r w:rsidRPr="009A606D">
        <w:rPr>
          <w:rFonts w:ascii="Helvetica" w:eastAsia="Times New Roman" w:hAnsi="Helvetica" w:cs="Helvetica"/>
          <w:color w:val="16192B"/>
          <w:kern w:val="36"/>
          <w:sz w:val="48"/>
          <w:szCs w:val="48"/>
        </w:rPr>
        <w:t>You are currently studying a number of corporate failures happened</w:t>
      </w:r>
    </w:p>
    <w:p w:rsidR="009A606D" w:rsidRPr="009A606D" w:rsidRDefault="009A606D" w:rsidP="009A606D">
      <w:pPr>
        <w:shd w:val="clear" w:color="auto" w:fill="FFFFFF"/>
        <w:spacing w:after="0" w:line="240" w:lineRule="auto"/>
        <w:rPr>
          <w:rFonts w:ascii="Helvetica" w:eastAsia="Times New Roman" w:hAnsi="Helvetica" w:cs="Helvetica"/>
          <w:color w:val="16192B"/>
          <w:sz w:val="23"/>
          <w:szCs w:val="23"/>
        </w:rPr>
      </w:pPr>
      <w:r w:rsidRPr="009A606D">
        <w:rPr>
          <w:rFonts w:ascii="Helvetica" w:eastAsia="Times New Roman" w:hAnsi="Helvetica" w:cs="Helvetica"/>
          <w:color w:val="16192B"/>
          <w:sz w:val="23"/>
          <w:szCs w:val="23"/>
        </w:rPr>
        <w:t>in the World that caused a major creditability crisis in the accounting and auditing profession. The collapse of Bearings Bank has drawn your attention. Barings Bank was one the world's oldest merchant bank. Barings decided to open a Future and Options office in Singapore. The bank appointed Nick Leeson as a general manager, who was sent over to head both front office and back office operations. Leeson was able to settle his own trades, bypassing the bank's own internal controls. After moving to Singapore to execute and clear transactions on the Singapore Exchange, Leeson began making unauthorised trades, which initially made large profits: £10 million in one week for Barings. This humongous profit accounted for 10% of Barings' annual profit, which caught the attention of other staff members in the bank. In particular, Mike Killian, the head of Global Equity Futures and Options Sales, knew that Barings was making about £200 million for the whole year. Killian was cynical that if Leeson carried on making such profit throughout the year, it would be a £1billion a year profit. According to some sources, Killian claimed that if Leeson is doing the amount of business for the amount of profit, then they should shut down the rest of the bank because they were just overheads. Due to Leeson's rogue trading, Barings declared bankruptcy in February 1995. The report of the collapse of Barings Bank is available on Moodle. For further information, please refer to the below source link: https://www.gov.uk/government/publications/report-into-the-collapse-of-barings-bank.</w:t>
      </w:r>
    </w:p>
    <w:p w:rsidR="00B95BB9" w:rsidRDefault="00B95BB9">
      <w:bookmarkStart w:id="0" w:name="_GoBack"/>
      <w:bookmarkEnd w:id="0"/>
    </w:p>
    <w:sectPr w:rsidR="00B95B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606D"/>
    <w:rsid w:val="009A606D"/>
    <w:rsid w:val="00B95B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A606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606D"/>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9A606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A606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606D"/>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9A606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04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246</Words>
  <Characters>1404</Characters>
  <Application>Microsoft Office Word</Application>
  <DocSecurity>0</DocSecurity>
  <Lines>11</Lines>
  <Paragraphs>3</Paragraphs>
  <ScaleCrop>false</ScaleCrop>
  <Company/>
  <LinksUpToDate>false</LinksUpToDate>
  <CharactersWithSpaces>1647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2020-10-12T12:03:00Z</dcterms:created>
  <dcterms:modified xsi:type="dcterms:W3CDTF">2020-10-12T12:04:00Z</dcterms:modified>
</cp:coreProperties>
</file>